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FBD62" w14:textId="77777777" w:rsidR="00EE6EBC" w:rsidRDefault="00EE6EBC" w:rsidP="00772891">
      <w:pPr>
        <w:pStyle w:val="Overskrift1"/>
        <w:rPr>
          <w:sz w:val="28"/>
          <w:szCs w:val="28"/>
        </w:rPr>
      </w:pPr>
      <w:bookmarkStart w:id="0" w:name="_GoBack"/>
      <w:bookmarkEnd w:id="0"/>
    </w:p>
    <w:p w14:paraId="47734082" w14:textId="77777777" w:rsidR="00EE6EBC" w:rsidRPr="00AF4777" w:rsidRDefault="00EE6EBC" w:rsidP="00EE6EBC">
      <w:pPr>
        <w:pStyle w:val="Overskrift1"/>
        <w:rPr>
          <w:sz w:val="28"/>
          <w:szCs w:val="28"/>
        </w:rPr>
      </w:pPr>
      <w:r w:rsidRPr="00AF4777">
        <w:rPr>
          <w:sz w:val="28"/>
          <w:szCs w:val="28"/>
        </w:rPr>
        <w:t>Pia Nordin Christensen</w:t>
      </w:r>
    </w:p>
    <w:p w14:paraId="2B7E8C86" w14:textId="77777777" w:rsidR="00EE6EBC" w:rsidRDefault="00EE6EBC" w:rsidP="00EE6EBC">
      <w:r>
        <w:t>Sognepræst, Frederiksberg kirke. Masterstuderende i homiletik.</w:t>
      </w:r>
    </w:p>
    <w:p w14:paraId="30E1CD98" w14:textId="77777777" w:rsidR="00EE6EBC" w:rsidRPr="00992678" w:rsidRDefault="00EE6EBC" w:rsidP="00EE6EBC">
      <w:r>
        <w:t>Studieorloven anvendes til  afsluttende masteropgave, som er under udarbejdelse.</w:t>
      </w:r>
    </w:p>
    <w:p w14:paraId="6198FCAF" w14:textId="77777777" w:rsidR="00EE6EBC" w:rsidRPr="00AF4777" w:rsidRDefault="00EE6EBC" w:rsidP="00EE6EBC">
      <w:pPr>
        <w:pStyle w:val="Overskrift1"/>
        <w:rPr>
          <w:sz w:val="28"/>
          <w:szCs w:val="28"/>
        </w:rPr>
      </w:pPr>
      <w:r w:rsidRPr="00AF4777">
        <w:rPr>
          <w:sz w:val="28"/>
          <w:szCs w:val="28"/>
        </w:rPr>
        <w:t>Masteropgave:</w:t>
      </w:r>
      <w:r>
        <w:rPr>
          <w:sz w:val="28"/>
          <w:szCs w:val="28"/>
        </w:rPr>
        <w:t xml:space="preserve"> </w:t>
      </w:r>
      <w:r w:rsidRPr="00AF4777">
        <w:rPr>
          <w:sz w:val="28"/>
          <w:szCs w:val="28"/>
        </w:rPr>
        <w:t>Prædikens praksis i spændingen mellem teologi og erfaring</w:t>
      </w:r>
    </w:p>
    <w:p w14:paraId="4522B5D1" w14:textId="77777777" w:rsidR="00EE6EBC" w:rsidRPr="009E06DE" w:rsidRDefault="00EE6EBC" w:rsidP="00EE6EBC"/>
    <w:p w14:paraId="5FA5F082" w14:textId="77777777" w:rsidR="00EE6EBC" w:rsidRPr="00D31951" w:rsidRDefault="00EE6EBC" w:rsidP="00EE6EBC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Mit udgangspunkt er, at e</w:t>
      </w:r>
      <w:r w:rsidRPr="00D31951">
        <w:rPr>
          <w:sz w:val="28"/>
          <w:szCs w:val="28"/>
        </w:rPr>
        <w:t>n prædiken, der opstår i mødet imellem bibeltekst og livserfaringer er en erfaringsteologisk prædiken. Det er min tese, at prædikenværkstedet</w:t>
      </w:r>
      <w:r>
        <w:rPr>
          <w:sz w:val="28"/>
          <w:szCs w:val="28"/>
        </w:rPr>
        <w:t>, hvor menigheden inddrages i prædikenforberedelsen,</w:t>
      </w:r>
      <w:r w:rsidRPr="00D31951">
        <w:rPr>
          <w:sz w:val="28"/>
          <w:szCs w:val="28"/>
        </w:rPr>
        <w:t xml:space="preserve"> er et frugtbart homiletisk afsæt herfor. I </w:t>
      </w:r>
      <w:r>
        <w:rPr>
          <w:sz w:val="28"/>
          <w:szCs w:val="28"/>
        </w:rPr>
        <w:t>min master</w:t>
      </w:r>
      <w:r w:rsidRPr="00D31951">
        <w:rPr>
          <w:sz w:val="28"/>
          <w:szCs w:val="28"/>
        </w:rPr>
        <w:t xml:space="preserve">opgave beskrives med evangelieteksten som fortegn, hvordan </w:t>
      </w:r>
      <w:r>
        <w:rPr>
          <w:sz w:val="28"/>
          <w:szCs w:val="28"/>
        </w:rPr>
        <w:t xml:space="preserve">samtalen </w:t>
      </w:r>
      <w:r w:rsidRPr="00D31951">
        <w:rPr>
          <w:sz w:val="28"/>
          <w:szCs w:val="28"/>
        </w:rPr>
        <w:t>fungerer i praksis,  samt hvilke refleksio</w:t>
      </w:r>
      <w:r>
        <w:rPr>
          <w:sz w:val="28"/>
          <w:szCs w:val="28"/>
        </w:rPr>
        <w:t>ner præst og deltagere gør</w:t>
      </w:r>
      <w:r w:rsidRPr="00D31951">
        <w:rPr>
          <w:sz w:val="28"/>
          <w:szCs w:val="28"/>
        </w:rPr>
        <w:t xml:space="preserve"> sig på baggrund heraf.</w:t>
      </w:r>
    </w:p>
    <w:p w14:paraId="7C08A668" w14:textId="77777777" w:rsidR="00EE6EBC" w:rsidRPr="00D31951" w:rsidRDefault="00EE6EBC" w:rsidP="00EE6EBC">
      <w:pPr>
        <w:pStyle w:val="Brdtekst"/>
        <w:rPr>
          <w:sz w:val="28"/>
          <w:szCs w:val="28"/>
        </w:rPr>
      </w:pPr>
      <w:r w:rsidRPr="00D31951">
        <w:rPr>
          <w:sz w:val="28"/>
          <w:szCs w:val="28"/>
        </w:rPr>
        <w:t xml:space="preserve">Teoretisk søger </w:t>
      </w:r>
      <w:r>
        <w:rPr>
          <w:sz w:val="28"/>
          <w:szCs w:val="28"/>
        </w:rPr>
        <w:t xml:space="preserve">jeg som </w:t>
      </w:r>
      <w:r w:rsidRPr="00D31951">
        <w:rPr>
          <w:sz w:val="28"/>
          <w:szCs w:val="28"/>
        </w:rPr>
        <w:t>erfaringsteolog at indkredse erfaringer, der åbner for meningsful</w:t>
      </w:r>
      <w:r>
        <w:rPr>
          <w:sz w:val="28"/>
          <w:szCs w:val="28"/>
        </w:rPr>
        <w:t xml:space="preserve">d tale om Gud, og </w:t>
      </w:r>
      <w:r w:rsidRPr="00D31951">
        <w:rPr>
          <w:sz w:val="28"/>
          <w:szCs w:val="28"/>
        </w:rPr>
        <w:t>illustrere</w:t>
      </w:r>
      <w:r>
        <w:rPr>
          <w:sz w:val="28"/>
          <w:szCs w:val="28"/>
        </w:rPr>
        <w:t xml:space="preserve"> som sådan</w:t>
      </w:r>
      <w:r w:rsidRPr="00D31951">
        <w:rPr>
          <w:sz w:val="28"/>
          <w:szCs w:val="28"/>
        </w:rPr>
        <w:t xml:space="preserve"> bevægelsen fra livserfaring til troserfaring. Tro kan herudfra beskrives som en erfaring med erfaringen (</w:t>
      </w:r>
      <w:proofErr w:type="spellStart"/>
      <w:r w:rsidRPr="00D31951">
        <w:rPr>
          <w:sz w:val="28"/>
          <w:szCs w:val="28"/>
        </w:rPr>
        <w:t>Jüngel</w:t>
      </w:r>
      <w:proofErr w:type="spellEnd"/>
      <w:r w:rsidRPr="00D31951">
        <w:rPr>
          <w:sz w:val="28"/>
          <w:szCs w:val="28"/>
        </w:rPr>
        <w:t xml:space="preserve">) og </w:t>
      </w:r>
      <w:r>
        <w:rPr>
          <w:sz w:val="28"/>
          <w:szCs w:val="28"/>
        </w:rPr>
        <w:t xml:space="preserve">som </w:t>
      </w:r>
      <w:r w:rsidRPr="00D31951">
        <w:rPr>
          <w:sz w:val="28"/>
          <w:szCs w:val="28"/>
        </w:rPr>
        <w:t xml:space="preserve">sådan erfares som et overskud. </w:t>
      </w:r>
    </w:p>
    <w:p w14:paraId="72E4D54B" w14:textId="77777777" w:rsidR="00EE6EBC" w:rsidRDefault="00EE6EBC" w:rsidP="00EE6EBC">
      <w:pPr>
        <w:pStyle w:val="Brdtekst"/>
        <w:rPr>
          <w:sz w:val="28"/>
          <w:szCs w:val="28"/>
        </w:rPr>
      </w:pPr>
      <w:r w:rsidRPr="00D31951">
        <w:rPr>
          <w:sz w:val="28"/>
          <w:szCs w:val="28"/>
        </w:rPr>
        <w:t xml:space="preserve">Det er imidlertid ikke uproblematisk at tale om Gud i en tid, der grundlæggende forholder sig afvisende til talen om transcendens. </w:t>
      </w:r>
      <w:r>
        <w:rPr>
          <w:sz w:val="28"/>
          <w:szCs w:val="28"/>
        </w:rPr>
        <w:t>Så</w:t>
      </w:r>
      <w:r w:rsidRPr="00D31951">
        <w:rPr>
          <w:sz w:val="28"/>
          <w:szCs w:val="28"/>
        </w:rPr>
        <w:t xml:space="preserve"> hvordan </w:t>
      </w:r>
      <w:r>
        <w:rPr>
          <w:sz w:val="28"/>
          <w:szCs w:val="28"/>
        </w:rPr>
        <w:t>kan man</w:t>
      </w:r>
      <w:r w:rsidRPr="00D31951">
        <w:rPr>
          <w:sz w:val="28"/>
          <w:szCs w:val="28"/>
        </w:rPr>
        <w:t xml:space="preserve"> forstå transcendenserfaringer</w:t>
      </w:r>
      <w:r>
        <w:rPr>
          <w:sz w:val="28"/>
          <w:szCs w:val="28"/>
        </w:rPr>
        <w:t>? Her tager jeg udgangspunkt i</w:t>
      </w:r>
      <w:r w:rsidRPr="00D31951">
        <w:rPr>
          <w:sz w:val="28"/>
          <w:szCs w:val="28"/>
        </w:rPr>
        <w:t xml:space="preserve"> Dorthe Jørgensen</w:t>
      </w:r>
      <w:r>
        <w:rPr>
          <w:sz w:val="28"/>
          <w:szCs w:val="28"/>
        </w:rPr>
        <w:t>s</w:t>
      </w:r>
      <w:r w:rsidRPr="00D31951">
        <w:rPr>
          <w:sz w:val="28"/>
          <w:szCs w:val="28"/>
        </w:rPr>
        <w:t xml:space="preserve"> disputa</w:t>
      </w:r>
      <w:r>
        <w:rPr>
          <w:sz w:val="28"/>
          <w:szCs w:val="28"/>
        </w:rPr>
        <w:t>t</w:t>
      </w:r>
      <w:r w:rsidRPr="00D31951">
        <w:rPr>
          <w:sz w:val="28"/>
          <w:szCs w:val="28"/>
        </w:rPr>
        <w:t>s “Den skønne tænkning”</w:t>
      </w:r>
      <w:r>
        <w:rPr>
          <w:sz w:val="28"/>
          <w:szCs w:val="28"/>
        </w:rPr>
        <w:t>.</w:t>
      </w:r>
      <w:r w:rsidRPr="00D31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Jørgensen </w:t>
      </w:r>
      <w:r w:rsidRPr="00D31951">
        <w:rPr>
          <w:sz w:val="28"/>
          <w:szCs w:val="28"/>
        </w:rPr>
        <w:t>definere</w:t>
      </w:r>
      <w:r>
        <w:rPr>
          <w:sz w:val="28"/>
          <w:szCs w:val="28"/>
        </w:rPr>
        <w:t>r</w:t>
      </w:r>
      <w:r w:rsidRPr="00D31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transcendenserfaringer </w:t>
      </w:r>
      <w:r w:rsidRPr="00D31951">
        <w:rPr>
          <w:sz w:val="28"/>
          <w:szCs w:val="28"/>
        </w:rPr>
        <w:t>som erfaringer af merbetydning</w:t>
      </w:r>
      <w:r>
        <w:rPr>
          <w:sz w:val="28"/>
          <w:szCs w:val="28"/>
        </w:rPr>
        <w:t>.</w:t>
      </w:r>
      <w:r w:rsidRPr="00D31951">
        <w:rPr>
          <w:sz w:val="28"/>
          <w:szCs w:val="28"/>
        </w:rPr>
        <w:t xml:space="preserve"> Erfaringer af merbetydning forudsætter opmærksomhed. Opgavens anden tese overvejer, om der kan drages homiletiske konsekvenser af ’skøn tænkning’. Og hvad stiller vi i givet fald så op med det uskønne? </w:t>
      </w:r>
    </w:p>
    <w:p w14:paraId="4FD7A5A4" w14:textId="77777777" w:rsidR="00EE6EBC" w:rsidRDefault="00EE6EBC" w:rsidP="00EE6EBC">
      <w:pPr>
        <w:pStyle w:val="Brdtekst"/>
        <w:rPr>
          <w:sz w:val="28"/>
          <w:szCs w:val="28"/>
        </w:rPr>
      </w:pPr>
    </w:p>
    <w:p w14:paraId="1EFA671C" w14:textId="77777777" w:rsidR="00EE6EBC" w:rsidRPr="00C62807" w:rsidRDefault="00EE6EBC" w:rsidP="00EE6EBC">
      <w:pPr>
        <w:pStyle w:val="Brdtekst"/>
        <w:rPr>
          <w:b/>
          <w:sz w:val="28"/>
          <w:szCs w:val="28"/>
        </w:rPr>
      </w:pPr>
      <w:r w:rsidRPr="00C62807">
        <w:rPr>
          <w:b/>
          <w:sz w:val="28"/>
          <w:szCs w:val="28"/>
        </w:rPr>
        <w:t>Tidligere artikel om emnet:</w:t>
      </w:r>
    </w:p>
    <w:p w14:paraId="0752718B" w14:textId="77777777" w:rsidR="00EE6EBC" w:rsidRDefault="00EE6EBC" w:rsidP="00EE6EBC">
      <w:pPr>
        <w:pStyle w:val="Fodnotetekst"/>
      </w:pPr>
      <w:r w:rsidRPr="00C62807">
        <w:rPr>
          <w:b/>
        </w:rPr>
        <w:t>Christensen, Pia Nordin</w:t>
      </w:r>
      <w:r>
        <w:t>: ’En samtidig homiletik – en refleksion over egen prædikenpraksis’. KFPT nr.137,2014.</w:t>
      </w:r>
    </w:p>
    <w:p w14:paraId="00DAA935" w14:textId="77777777" w:rsidR="00EE6EBC" w:rsidRDefault="00EE6EBC" w:rsidP="00EE6EBC">
      <w:pPr>
        <w:pStyle w:val="Brdtekst"/>
        <w:rPr>
          <w:sz w:val="28"/>
          <w:szCs w:val="28"/>
        </w:rPr>
      </w:pPr>
    </w:p>
    <w:p w14:paraId="5F9A0336" w14:textId="77777777" w:rsidR="00EE6EBC" w:rsidRPr="00C62807" w:rsidRDefault="00EE6EBC" w:rsidP="00EE6EBC">
      <w:pPr>
        <w:pStyle w:val="Brdtekst"/>
        <w:rPr>
          <w:b/>
          <w:sz w:val="28"/>
          <w:szCs w:val="28"/>
        </w:rPr>
      </w:pPr>
      <w:r w:rsidRPr="00C62807">
        <w:rPr>
          <w:b/>
          <w:sz w:val="28"/>
          <w:szCs w:val="28"/>
        </w:rPr>
        <w:t>Litteratur:</w:t>
      </w:r>
    </w:p>
    <w:p w14:paraId="327A07DC" w14:textId="77777777" w:rsidR="00EE6EBC" w:rsidRDefault="00EE6EBC" w:rsidP="00EE6EBC">
      <w:pPr>
        <w:pStyle w:val="Brdtekst"/>
      </w:pPr>
      <w:r w:rsidRPr="00B2043E">
        <w:rPr>
          <w:b/>
        </w:rPr>
        <w:t>Albinus, Lars</w:t>
      </w:r>
      <w:r w:rsidRPr="00B2043E">
        <w:t xml:space="preserve">. </w:t>
      </w:r>
    </w:p>
    <w:p w14:paraId="0E8C4EAD" w14:textId="77777777" w:rsidR="00EE6EBC" w:rsidRPr="00B2043E" w:rsidRDefault="00EE6EBC" w:rsidP="00EE6EBC">
      <w:pPr>
        <w:pStyle w:val="Brdtekst"/>
      </w:pPr>
      <w:r w:rsidRPr="00B2043E">
        <w:t>En æstetisk filosofi om sanseoverskridende erfaringer (DTT 77. Årg. 2014</w:t>
      </w:r>
      <w:r>
        <w:t>)</w:t>
      </w:r>
    </w:p>
    <w:p w14:paraId="37B30ED3" w14:textId="77777777" w:rsidR="00EE6EBC" w:rsidRPr="00840F2B" w:rsidRDefault="00EE6EBC" w:rsidP="00EE6EBC">
      <w:pPr>
        <w:rPr>
          <w:b/>
        </w:rPr>
      </w:pPr>
      <w:r w:rsidRPr="00840F2B">
        <w:rPr>
          <w:b/>
        </w:rPr>
        <w:t xml:space="preserve">Bjerg, Svend </w:t>
      </w:r>
    </w:p>
    <w:p w14:paraId="6B4C9588" w14:textId="77777777" w:rsidR="00EE6EBC" w:rsidRDefault="00EE6EBC" w:rsidP="00EE6EBC">
      <w:r>
        <w:t>- Kunsten at prædike (2002)</w:t>
      </w:r>
    </w:p>
    <w:p w14:paraId="74117D49" w14:textId="77777777" w:rsidR="00EE6EBC" w:rsidRDefault="00EE6EBC" w:rsidP="00EE6EBC">
      <w:r>
        <w:lastRenderedPageBreak/>
        <w:t>- Det evige i det flygtige (2004)</w:t>
      </w:r>
    </w:p>
    <w:p w14:paraId="5E005586" w14:textId="77777777" w:rsidR="00EE6EBC" w:rsidRPr="000A44FA" w:rsidRDefault="00EE6EBC" w:rsidP="00EE6EBC">
      <w:r>
        <w:t xml:space="preserve">- </w:t>
      </w:r>
      <w:r w:rsidRPr="000A44FA">
        <w:t>Tro og erfaring.</w:t>
      </w:r>
      <w:r>
        <w:t xml:space="preserve"> (Anis 2006)</w:t>
      </w:r>
    </w:p>
    <w:p w14:paraId="4DDDE732" w14:textId="77777777" w:rsidR="00EE6EBC" w:rsidRDefault="00EE6EBC" w:rsidP="00EE6EBC">
      <w:pPr>
        <w:pStyle w:val="Brdtekst"/>
      </w:pPr>
    </w:p>
    <w:p w14:paraId="54FB4A1F" w14:textId="77777777" w:rsidR="00EE6EBC" w:rsidRDefault="00EE6EBC" w:rsidP="00EE6EBC">
      <w:pPr>
        <w:pStyle w:val="Brdtekst"/>
      </w:pPr>
      <w:r w:rsidRPr="00EE2C2F">
        <w:rPr>
          <w:b/>
        </w:rPr>
        <w:t>Livskraft</w:t>
      </w:r>
      <w:r w:rsidRPr="00B2043E">
        <w:t>. Studier i kristendom, fortælling og erfaring.</w:t>
      </w:r>
      <w:r>
        <w:t xml:space="preserve"> </w:t>
      </w:r>
      <w:r w:rsidRPr="00B2043E">
        <w:t>Redigeret af Christine Tind Johannessen-Henry, Susanne Gregersen, Søren Holst og Elof Westergaard</w:t>
      </w:r>
      <w:r>
        <w:t xml:space="preserve"> (Anis 2012)</w:t>
      </w:r>
    </w:p>
    <w:p w14:paraId="475762C0" w14:textId="77777777" w:rsidR="00EE6EBC" w:rsidRPr="00B2043E" w:rsidRDefault="00EE6EBC" w:rsidP="00EE6EBC">
      <w:pPr>
        <w:pStyle w:val="Brdtekst"/>
      </w:pPr>
      <w:r w:rsidRPr="00840F2B">
        <w:rPr>
          <w:b/>
        </w:rPr>
        <w:t>Gaarden,</w:t>
      </w:r>
      <w:r>
        <w:t xml:space="preserve"> Marianne. Prædikenen som det tredje rum. (Anis 2015)</w:t>
      </w:r>
    </w:p>
    <w:p w14:paraId="7E743145" w14:textId="77777777" w:rsidR="00EE6EBC" w:rsidRPr="00840F2B" w:rsidRDefault="00EE6EBC" w:rsidP="00EE6EBC">
      <w:pPr>
        <w:rPr>
          <w:b/>
        </w:rPr>
      </w:pPr>
      <w:r w:rsidRPr="00840F2B">
        <w:rPr>
          <w:b/>
        </w:rPr>
        <w:t xml:space="preserve">Jørgensen, Dorthe               </w:t>
      </w:r>
    </w:p>
    <w:p w14:paraId="4A9315E2" w14:textId="77777777" w:rsidR="00EE6EBC" w:rsidRDefault="00EE6EBC" w:rsidP="00EE6EBC">
      <w:r>
        <w:t>- Skønhed. En engel gik forbi. (Aarhus Universitetsforlag 2006)</w:t>
      </w:r>
    </w:p>
    <w:p w14:paraId="07BB55A6" w14:textId="77777777" w:rsidR="00EE6EBC" w:rsidRDefault="00EE6EBC" w:rsidP="00EE6EBC">
      <w:r>
        <w:t xml:space="preserve">- </w:t>
      </w:r>
      <w:r w:rsidRPr="00862253">
        <w:t xml:space="preserve">Den skønne tænkning. Veje til </w:t>
      </w:r>
      <w:proofErr w:type="spellStart"/>
      <w:r w:rsidRPr="00862253">
        <w:t>erfaringsmetafysik</w:t>
      </w:r>
      <w:proofErr w:type="spellEnd"/>
      <w:r w:rsidRPr="00862253">
        <w:t xml:space="preserve">. Religionsfilosofisk udmøntet. (Aarhus Universitetsforlag, 2014)                                                                     </w:t>
      </w:r>
      <w:r>
        <w:t xml:space="preserve">                                                </w:t>
      </w:r>
    </w:p>
    <w:p w14:paraId="38D16CEA" w14:textId="77777777" w:rsidR="00EE6EBC" w:rsidRPr="00DF3501" w:rsidRDefault="00EE6EBC" w:rsidP="00EE6EBC">
      <w:pPr>
        <w:rPr>
          <w:lang w:val="nn-NO"/>
        </w:rPr>
      </w:pPr>
      <w:r>
        <w:t xml:space="preserve">- </w:t>
      </w:r>
      <w:r w:rsidRPr="00862253">
        <w:t xml:space="preserve">Fornemmelsens Filosofi. Æstetik, fænomenologi og </w:t>
      </w:r>
      <w:proofErr w:type="spellStart"/>
      <w:r w:rsidRPr="00862253">
        <w:t>erfaringsmetafysik</w:t>
      </w:r>
      <w:proofErr w:type="spellEnd"/>
      <w:r w:rsidRPr="00862253">
        <w:t xml:space="preserve">. </w:t>
      </w:r>
      <w:r w:rsidRPr="00DF3501">
        <w:rPr>
          <w:lang w:val="nn-NO"/>
        </w:rPr>
        <w:t>Filosofi og Kunst (red. Ulla Thøgersen, Bjarne Troelsen. Ålborg: Aalborg Universitetsforlag 2012) s. 33-45. .</w:t>
      </w:r>
    </w:p>
    <w:p w14:paraId="554C1BE8" w14:textId="77777777" w:rsidR="00EE6EBC" w:rsidRPr="00DF3501" w:rsidRDefault="00EE6EBC" w:rsidP="00EE6EBC">
      <w:pPr>
        <w:rPr>
          <w:lang w:val="nn-NO"/>
        </w:rPr>
      </w:pPr>
    </w:p>
    <w:p w14:paraId="63D77762" w14:textId="77777777" w:rsidR="00EE6EBC" w:rsidRPr="00DF3501" w:rsidRDefault="00EE6EBC" w:rsidP="00EE6EBC">
      <w:pPr>
        <w:rPr>
          <w:lang w:val="sv-SE"/>
        </w:rPr>
      </w:pPr>
      <w:r w:rsidRPr="00DF3501">
        <w:rPr>
          <w:b/>
          <w:lang w:val="sv-SE"/>
        </w:rPr>
        <w:t xml:space="preserve">Nørager, </w:t>
      </w:r>
      <w:proofErr w:type="spellStart"/>
      <w:r w:rsidRPr="00DF3501">
        <w:rPr>
          <w:b/>
          <w:lang w:val="sv-SE"/>
        </w:rPr>
        <w:t>Troels</w:t>
      </w:r>
      <w:proofErr w:type="spellEnd"/>
      <w:r w:rsidRPr="00DF3501">
        <w:rPr>
          <w:lang w:val="sv-SE"/>
        </w:rPr>
        <w:t xml:space="preserve">. </w:t>
      </w:r>
    </w:p>
    <w:p w14:paraId="5C0BDE37" w14:textId="77777777" w:rsidR="00EE6EBC" w:rsidRPr="00DF3501" w:rsidRDefault="00EE6EBC" w:rsidP="00EE6EBC">
      <w:pPr>
        <w:rPr>
          <w:lang w:val="en-US"/>
        </w:rPr>
      </w:pPr>
      <w:r w:rsidRPr="00DF3501">
        <w:rPr>
          <w:lang w:val="sv-SE"/>
        </w:rPr>
        <w:t xml:space="preserve">Filosofisk </w:t>
      </w:r>
      <w:proofErr w:type="spellStart"/>
      <w:r w:rsidRPr="00DF3501">
        <w:rPr>
          <w:lang w:val="sv-SE"/>
        </w:rPr>
        <w:t>æstetik</w:t>
      </w:r>
      <w:proofErr w:type="spellEnd"/>
      <w:r w:rsidRPr="00DF3501">
        <w:rPr>
          <w:lang w:val="sv-SE"/>
        </w:rPr>
        <w:t xml:space="preserve"> som teologisk religionsfilosofi? </w:t>
      </w:r>
      <w:r>
        <w:t xml:space="preserve">En fremstilling og drøftelse af Dorthe Jørgensenes disputats, Den skønne tænkning. </w:t>
      </w:r>
      <w:r w:rsidRPr="00DF3501">
        <w:rPr>
          <w:lang w:val="en-US"/>
        </w:rPr>
        <w:t>(</w:t>
      </w:r>
      <w:proofErr w:type="spellStart"/>
      <w:r>
        <w:rPr>
          <w:lang w:val="en-US"/>
        </w:rPr>
        <w:t>Norsk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Teologisk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Tidsskrift</w:t>
      </w:r>
      <w:proofErr w:type="spellEnd"/>
      <w:r w:rsidRPr="00DF3501">
        <w:rPr>
          <w:lang w:val="en-US"/>
        </w:rPr>
        <w:t xml:space="preserve">  </w:t>
      </w:r>
      <w:proofErr w:type="spellStart"/>
      <w:r w:rsidRPr="00DF3501">
        <w:rPr>
          <w:lang w:val="en-US"/>
        </w:rPr>
        <w:t>efterår</w:t>
      </w:r>
      <w:proofErr w:type="spellEnd"/>
      <w:proofErr w:type="gramEnd"/>
      <w:r w:rsidRPr="00DF3501">
        <w:rPr>
          <w:lang w:val="en-US"/>
        </w:rPr>
        <w:t xml:space="preserve"> 2015)</w:t>
      </w:r>
    </w:p>
    <w:p w14:paraId="4E58C83C" w14:textId="77777777" w:rsidR="00EE6EBC" w:rsidRPr="00DF3501" w:rsidRDefault="00EE6EBC" w:rsidP="00EE6EBC">
      <w:pPr>
        <w:rPr>
          <w:lang w:val="en-US"/>
        </w:rPr>
      </w:pPr>
    </w:p>
    <w:p w14:paraId="3F0680FC" w14:textId="77777777" w:rsidR="00EE6EBC" w:rsidRPr="00DF3501" w:rsidRDefault="00EE6EBC" w:rsidP="00EE6EBC">
      <w:pPr>
        <w:rPr>
          <w:lang w:val="en-US"/>
        </w:rPr>
      </w:pPr>
      <w:r w:rsidRPr="00DF3501">
        <w:rPr>
          <w:b/>
          <w:lang w:val="en-US"/>
        </w:rPr>
        <w:t>McClure, John S</w:t>
      </w:r>
      <w:r w:rsidRPr="00DF3501">
        <w:rPr>
          <w:lang w:val="en-US"/>
        </w:rPr>
        <w:t xml:space="preserve">. </w:t>
      </w:r>
    </w:p>
    <w:p w14:paraId="778F1F8E" w14:textId="77777777" w:rsidR="00EE6EBC" w:rsidRPr="00DF3501" w:rsidRDefault="00EE6EBC" w:rsidP="00EE6EBC">
      <w:pPr>
        <w:rPr>
          <w:lang w:val="en-US"/>
        </w:rPr>
      </w:pPr>
      <w:r w:rsidRPr="00DF3501">
        <w:rPr>
          <w:lang w:val="en-US"/>
        </w:rPr>
        <w:t>- The Roundtable Pulpit: Where Leadership and Preaching Meet.</w:t>
      </w:r>
    </w:p>
    <w:p w14:paraId="48BA8CE3" w14:textId="77777777" w:rsidR="00EE6EBC" w:rsidRPr="00DF3501" w:rsidRDefault="00EE6EBC" w:rsidP="00EE6EBC">
      <w:pPr>
        <w:rPr>
          <w:lang w:val="en-US"/>
        </w:rPr>
      </w:pPr>
      <w:r w:rsidRPr="00DF3501">
        <w:rPr>
          <w:lang w:val="en-US"/>
        </w:rPr>
        <w:t>Nashville: Abingdon Press (1995)</w:t>
      </w:r>
      <w:r w:rsidRPr="00DF3501">
        <w:rPr>
          <w:lang w:val="en-US"/>
        </w:rPr>
        <w:tab/>
      </w:r>
    </w:p>
    <w:p w14:paraId="37BBB582" w14:textId="77777777" w:rsidR="00EE6EBC" w:rsidRPr="00DF3501" w:rsidRDefault="00EE6EBC" w:rsidP="00EE6EBC">
      <w:pPr>
        <w:rPr>
          <w:lang w:val="en-US"/>
        </w:rPr>
      </w:pPr>
      <w:r w:rsidRPr="00DF3501">
        <w:rPr>
          <w:lang w:val="en-US"/>
        </w:rPr>
        <w:t xml:space="preserve">- Other-wise Preaching: A </w:t>
      </w:r>
      <w:proofErr w:type="gramStart"/>
      <w:r w:rsidRPr="00DF3501">
        <w:rPr>
          <w:lang w:val="en-US"/>
        </w:rPr>
        <w:t>Postmodern  Ethic</w:t>
      </w:r>
      <w:proofErr w:type="gramEnd"/>
      <w:r w:rsidRPr="00DF3501">
        <w:rPr>
          <w:lang w:val="en-US"/>
        </w:rPr>
        <w:t xml:space="preserve"> for Homiletics. </w:t>
      </w:r>
    </w:p>
    <w:p w14:paraId="372F1C49" w14:textId="77777777" w:rsidR="00EE6EBC" w:rsidRPr="00DF3501" w:rsidRDefault="00EE6EBC" w:rsidP="00EE6EBC">
      <w:pPr>
        <w:rPr>
          <w:lang w:val="en-US"/>
        </w:rPr>
      </w:pPr>
      <w:r w:rsidRPr="00DF3501">
        <w:rPr>
          <w:lang w:val="en-US"/>
        </w:rPr>
        <w:t>St. Louis: Chalice Press, (2001)</w:t>
      </w:r>
    </w:p>
    <w:p w14:paraId="255CF11E" w14:textId="77777777" w:rsidR="00EE6EBC" w:rsidRPr="00DF3501" w:rsidRDefault="00EE6EBC" w:rsidP="00EE6EBC">
      <w:pPr>
        <w:pStyle w:val="Brdtekst"/>
        <w:rPr>
          <w:b/>
          <w:lang w:val="en-US"/>
        </w:rPr>
      </w:pPr>
    </w:p>
    <w:p w14:paraId="799AC225" w14:textId="77777777" w:rsidR="00EE6EBC" w:rsidRPr="00DF3501" w:rsidRDefault="00EE6EBC" w:rsidP="00EE6EBC">
      <w:pPr>
        <w:pStyle w:val="Brdtekst"/>
        <w:rPr>
          <w:b/>
          <w:lang w:val="en-US"/>
        </w:rPr>
      </w:pPr>
      <w:proofErr w:type="spellStart"/>
      <w:r w:rsidRPr="00DF3501">
        <w:rPr>
          <w:b/>
          <w:lang w:val="en-US"/>
        </w:rPr>
        <w:t>Póder</w:t>
      </w:r>
      <w:proofErr w:type="spellEnd"/>
      <w:r w:rsidRPr="00DF3501">
        <w:rPr>
          <w:b/>
          <w:lang w:val="en-US"/>
        </w:rPr>
        <w:t>, Christine Svinth-Værge</w:t>
      </w:r>
    </w:p>
    <w:p w14:paraId="4116F2C3" w14:textId="77777777" w:rsidR="00EE6EBC" w:rsidRDefault="00EE6EBC" w:rsidP="00EE6EBC">
      <w:pPr>
        <w:pStyle w:val="Brdtekst"/>
      </w:pPr>
      <w:r w:rsidRPr="00B2043E">
        <w:t>De skjulte erfaringsstrukturer i Karl Barths sene teologi (DTT ,71. årg. (2008)</w:t>
      </w:r>
    </w:p>
    <w:p w14:paraId="286BFD48" w14:textId="77777777" w:rsidR="00EE6EBC" w:rsidRPr="00840F2B" w:rsidRDefault="00EE6EBC" w:rsidP="00EE6EBC">
      <w:pPr>
        <w:pStyle w:val="Brdtekst"/>
        <w:rPr>
          <w:b/>
        </w:rPr>
      </w:pPr>
      <w:r w:rsidRPr="00840F2B">
        <w:rPr>
          <w:b/>
        </w:rPr>
        <w:t>Thyssen, Peter</w:t>
      </w:r>
    </w:p>
    <w:p w14:paraId="51E06FD9" w14:textId="77777777" w:rsidR="00EE6EBC" w:rsidRDefault="00EE6EBC" w:rsidP="00EE6EBC">
      <w:pPr>
        <w:pStyle w:val="Brdtekst"/>
      </w:pPr>
      <w:r>
        <w:t xml:space="preserve">Eberhard </w:t>
      </w:r>
      <w:proofErr w:type="spellStart"/>
      <w:r>
        <w:t>Jüngel</w:t>
      </w:r>
      <w:proofErr w:type="spellEnd"/>
      <w:r>
        <w:t xml:space="preserve"> (Anis 2002)</w:t>
      </w:r>
    </w:p>
    <w:p w14:paraId="2A2FB69E" w14:textId="77777777" w:rsidR="00EE6EBC" w:rsidRPr="00B2043E" w:rsidRDefault="00EE6EBC" w:rsidP="00EE6EBC">
      <w:pPr>
        <w:pStyle w:val="Brdtekst"/>
      </w:pPr>
    </w:p>
    <w:p w14:paraId="56910F39" w14:textId="77777777" w:rsidR="00EE6EBC" w:rsidRDefault="00EE6EBC" w:rsidP="00772891">
      <w:pPr>
        <w:pStyle w:val="Overskrift1"/>
        <w:rPr>
          <w:sz w:val="28"/>
          <w:szCs w:val="28"/>
        </w:rPr>
      </w:pPr>
    </w:p>
    <w:p w14:paraId="1601E782" w14:textId="77777777" w:rsidR="00EE6EBC" w:rsidRDefault="00EE6EBC" w:rsidP="00772891">
      <w:pPr>
        <w:pStyle w:val="Overskrift1"/>
        <w:rPr>
          <w:sz w:val="28"/>
          <w:szCs w:val="28"/>
        </w:rPr>
      </w:pPr>
    </w:p>
    <w:p w14:paraId="621B2BFC" w14:textId="77777777" w:rsidR="00EE6EBC" w:rsidRDefault="00EE6EBC" w:rsidP="00772891">
      <w:pPr>
        <w:pStyle w:val="Overskrift1"/>
        <w:rPr>
          <w:sz w:val="28"/>
          <w:szCs w:val="28"/>
        </w:rPr>
      </w:pPr>
    </w:p>
    <w:sectPr w:rsidR="00EE6EBC" w:rsidSect="00772891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DB7B0" w14:textId="77777777" w:rsidR="004E2026" w:rsidRDefault="004E2026" w:rsidP="00772891">
      <w:r>
        <w:separator/>
      </w:r>
    </w:p>
  </w:endnote>
  <w:endnote w:type="continuationSeparator" w:id="0">
    <w:p w14:paraId="2BCE104D" w14:textId="77777777" w:rsidR="004E2026" w:rsidRDefault="004E2026" w:rsidP="0077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687C9" w14:textId="77777777" w:rsidR="004E2026" w:rsidRDefault="004E2026" w:rsidP="00772891">
      <w:r>
        <w:separator/>
      </w:r>
    </w:p>
  </w:footnote>
  <w:footnote w:type="continuationSeparator" w:id="0">
    <w:p w14:paraId="200DC26C" w14:textId="77777777" w:rsidR="004E2026" w:rsidRDefault="004E2026" w:rsidP="0077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7385"/>
    <w:multiLevelType w:val="multilevel"/>
    <w:tmpl w:val="30EC2FF4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00903153-A412-468E-9630-99D1AC71E200}"/>
  </w:docVars>
  <w:rsids>
    <w:rsidRoot w:val="00772891"/>
    <w:rsid w:val="000E5C7B"/>
    <w:rsid w:val="002F03AF"/>
    <w:rsid w:val="004E2026"/>
    <w:rsid w:val="006B4B3B"/>
    <w:rsid w:val="00772891"/>
    <w:rsid w:val="00840F2B"/>
    <w:rsid w:val="00992678"/>
    <w:rsid w:val="00A22A27"/>
    <w:rsid w:val="00A74391"/>
    <w:rsid w:val="00AF4777"/>
    <w:rsid w:val="00B2043E"/>
    <w:rsid w:val="00C62807"/>
    <w:rsid w:val="00CE0800"/>
    <w:rsid w:val="00D31951"/>
    <w:rsid w:val="00D43DB1"/>
    <w:rsid w:val="00EE2C2F"/>
    <w:rsid w:val="00E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EB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91"/>
  </w:style>
  <w:style w:type="paragraph" w:styleId="Overskrift1">
    <w:name w:val="heading 1"/>
    <w:basedOn w:val="Normal"/>
    <w:next w:val="Normal"/>
    <w:link w:val="Overskrift1Tegn"/>
    <w:uiPriority w:val="9"/>
    <w:qFormat/>
    <w:rsid w:val="00772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2891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772891"/>
  </w:style>
  <w:style w:type="character" w:customStyle="1" w:styleId="FodnotetekstTegn">
    <w:name w:val="Fodnotetekst Tegn"/>
    <w:basedOn w:val="Standardskrifttypeiafsnit"/>
    <w:link w:val="Fodnotetekst"/>
    <w:uiPriority w:val="99"/>
    <w:rsid w:val="00772891"/>
  </w:style>
  <w:style w:type="character" w:styleId="Fodnotehenvisning">
    <w:name w:val="footnote reference"/>
    <w:basedOn w:val="Standardskrifttypeiafsnit"/>
    <w:uiPriority w:val="99"/>
    <w:unhideWhenUsed/>
    <w:rsid w:val="00772891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8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77289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77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91"/>
  </w:style>
  <w:style w:type="paragraph" w:styleId="Overskrift1">
    <w:name w:val="heading 1"/>
    <w:basedOn w:val="Normal"/>
    <w:next w:val="Normal"/>
    <w:link w:val="Overskrift1Tegn"/>
    <w:uiPriority w:val="9"/>
    <w:qFormat/>
    <w:rsid w:val="00772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2891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772891"/>
  </w:style>
  <w:style w:type="character" w:customStyle="1" w:styleId="FodnotetekstTegn">
    <w:name w:val="Fodnotetekst Tegn"/>
    <w:basedOn w:val="Standardskrifttypeiafsnit"/>
    <w:link w:val="Fodnotetekst"/>
    <w:uiPriority w:val="99"/>
    <w:rsid w:val="00772891"/>
  </w:style>
  <w:style w:type="character" w:styleId="Fodnotehenvisning">
    <w:name w:val="footnote reference"/>
    <w:basedOn w:val="Standardskrifttypeiafsnit"/>
    <w:uiPriority w:val="99"/>
    <w:unhideWhenUsed/>
    <w:rsid w:val="00772891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8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77289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77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C6DDBF-1AC2-455F-8888-10D216FE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Prædikens praksis i spændingen mellem teologi og erfaring</vt:lpstr>
    </vt:vector>
  </TitlesOfParts>
  <Company>Nordin Invest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CHRISTENSEN</dc:creator>
  <cp:lastModifiedBy>Sandra Ries</cp:lastModifiedBy>
  <cp:revision>2</cp:revision>
  <dcterms:created xsi:type="dcterms:W3CDTF">2015-09-23T09:49:00Z</dcterms:created>
  <dcterms:modified xsi:type="dcterms:W3CDTF">2015-09-23T09:49:00Z</dcterms:modified>
</cp:coreProperties>
</file>